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701"/>
        <w:tblW w:w="9634" w:type="dxa"/>
        <w:tblLook w:val="04A0" w:firstRow="1" w:lastRow="0" w:firstColumn="1" w:lastColumn="0" w:noHBand="0" w:noVBand="1"/>
      </w:tblPr>
      <w:tblGrid>
        <w:gridCol w:w="589"/>
        <w:gridCol w:w="1533"/>
        <w:gridCol w:w="283"/>
        <w:gridCol w:w="1418"/>
        <w:gridCol w:w="3685"/>
        <w:gridCol w:w="2126"/>
      </w:tblGrid>
      <w:tr w:rsidR="003D4CC7" w:rsidRPr="00D14BE3" w:rsidTr="00B54F6C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3D4CC7" w:rsidRPr="00D14BE3" w:rsidRDefault="003D4CC7" w:rsidP="00B54F6C">
            <w:pPr>
              <w:rPr>
                <w:rFonts w:ascii="Arial" w:hAnsi="Arial" w:cs="Arial"/>
              </w:rPr>
            </w:pPr>
          </w:p>
        </w:tc>
        <w:tc>
          <w:tcPr>
            <w:tcW w:w="9045" w:type="dxa"/>
            <w:gridSpan w:val="5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 xml:space="preserve"> Wydział II Karny </w:t>
            </w:r>
          </w:p>
        </w:tc>
      </w:tr>
      <w:tr w:rsidR="003D4CC7" w:rsidRPr="00D14BE3" w:rsidTr="00B54F6C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3D4CC7" w:rsidRPr="00D14BE3" w:rsidRDefault="003D4CC7" w:rsidP="00B54F6C">
            <w:pPr>
              <w:rPr>
                <w:rFonts w:ascii="Arial" w:hAnsi="Arial" w:cs="Arial"/>
              </w:rPr>
            </w:pPr>
            <w:r w:rsidRPr="00D14BE3">
              <w:rPr>
                <w:rFonts w:ascii="Arial" w:hAnsi="Arial" w:cs="Arial"/>
              </w:rPr>
              <w:t>Lp.</w:t>
            </w:r>
          </w:p>
        </w:tc>
        <w:tc>
          <w:tcPr>
            <w:tcW w:w="9045" w:type="dxa"/>
            <w:gridSpan w:val="5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D4CC7" w:rsidRPr="00D14BE3" w:rsidTr="00B54F6C">
        <w:trPr>
          <w:trHeight w:val="547"/>
        </w:trPr>
        <w:tc>
          <w:tcPr>
            <w:tcW w:w="589" w:type="dxa"/>
            <w:vMerge w:val="restart"/>
          </w:tcPr>
          <w:p w:rsidR="003D4CC7" w:rsidRPr="00D14BE3" w:rsidRDefault="00B54F6C" w:rsidP="00B54F6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1.</w:t>
            </w:r>
          </w:p>
        </w:tc>
        <w:tc>
          <w:tcPr>
            <w:tcW w:w="1533" w:type="dxa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3685" w:type="dxa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Podstawowy wskaźnik przydziału</w:t>
            </w:r>
          </w:p>
        </w:tc>
        <w:tc>
          <w:tcPr>
            <w:tcW w:w="2126" w:type="dxa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3D4CC7" w:rsidRPr="00B54F6C" w:rsidRDefault="003D4CC7" w:rsidP="00B5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D4CC7" w:rsidRPr="00D14BE3" w:rsidTr="00B54F6C">
        <w:trPr>
          <w:trHeight w:val="405"/>
        </w:trPr>
        <w:tc>
          <w:tcPr>
            <w:tcW w:w="589" w:type="dxa"/>
            <w:vMerge/>
          </w:tcPr>
          <w:p w:rsidR="003D4CC7" w:rsidRPr="00D14BE3" w:rsidRDefault="003D4CC7" w:rsidP="00B54F6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3D4CC7" w:rsidRPr="00B54F6C" w:rsidRDefault="00B54F6C" w:rsidP="00B54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D4CC7" w:rsidRPr="00B54F6C" w:rsidRDefault="00B54F6C" w:rsidP="00B54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Mazerska</w:t>
            </w:r>
          </w:p>
        </w:tc>
        <w:tc>
          <w:tcPr>
            <w:tcW w:w="3685" w:type="dxa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Wskaźniki przydziału inne niż podstawowy:</w:t>
            </w:r>
          </w:p>
        </w:tc>
        <w:tc>
          <w:tcPr>
            <w:tcW w:w="2126" w:type="dxa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Wysokość wskaźnika</w:t>
            </w:r>
          </w:p>
        </w:tc>
      </w:tr>
      <w:tr w:rsidR="003D4CC7" w:rsidRPr="00D14BE3" w:rsidTr="00B54F6C">
        <w:trPr>
          <w:trHeight w:val="269"/>
        </w:trPr>
        <w:tc>
          <w:tcPr>
            <w:tcW w:w="589" w:type="dxa"/>
            <w:vMerge/>
          </w:tcPr>
          <w:p w:rsidR="003D4CC7" w:rsidRPr="00D14BE3" w:rsidRDefault="003D4CC7" w:rsidP="00B54F6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Pełnione funkcje:</w:t>
            </w:r>
          </w:p>
        </w:tc>
        <w:tc>
          <w:tcPr>
            <w:tcW w:w="3685" w:type="dxa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Inne indywidualne reguły przydziału</w:t>
            </w:r>
          </w:p>
        </w:tc>
        <w:tc>
          <w:tcPr>
            <w:tcW w:w="2126" w:type="dxa"/>
            <w:shd w:val="clear" w:color="auto" w:fill="FFFFFF" w:themeFill="background1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D4CC7" w:rsidRPr="00D14BE3" w:rsidTr="00B54F6C">
        <w:tc>
          <w:tcPr>
            <w:tcW w:w="589" w:type="dxa"/>
            <w:vMerge/>
          </w:tcPr>
          <w:p w:rsidR="003D4CC7" w:rsidRPr="00D14BE3" w:rsidRDefault="003D4CC7" w:rsidP="00B54F6C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Obowiązki niezwiązane z przydziałem</w:t>
            </w:r>
          </w:p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D4CC7" w:rsidRPr="00D14BE3" w:rsidTr="00B54F6C">
        <w:tc>
          <w:tcPr>
            <w:tcW w:w="2405" w:type="dxa"/>
            <w:gridSpan w:val="3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Inne ogólne reguły przydziału spraw i zadań sądu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3D4CC7" w:rsidRPr="00B54F6C" w:rsidRDefault="00B54F6C" w:rsidP="00B54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4CC7" w:rsidRPr="00B54F6C">
              <w:rPr>
                <w:rFonts w:ascii="Arial" w:hAnsi="Arial" w:cs="Arial"/>
                <w:sz w:val="18"/>
                <w:szCs w:val="18"/>
              </w:rPr>
              <w:t>odejmuje czynności wykonawcze w przydzielonych sprawach po uprawomocnieniu się orzeczeń</w:t>
            </w:r>
          </w:p>
          <w:p w:rsidR="003D4CC7" w:rsidRPr="00B54F6C" w:rsidRDefault="00B54F6C" w:rsidP="00B54F6C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Rozpoznaje zażalenia skierowane do innego składu sądu pierwszej instancji </w:t>
            </w:r>
            <w:r w:rsidR="003D4CC7" w:rsidRPr="00B54F6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na podstawie art. 394</w:t>
            </w:r>
            <w:r w:rsidR="003D4CC7" w:rsidRPr="00B54F6C">
              <w:rPr>
                <w:rFonts w:ascii="Arial" w:eastAsia="Calibri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1a  </w:t>
            </w:r>
            <w:r w:rsidR="003D4CC7" w:rsidRPr="00B54F6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§ 1k.p.c.</w:t>
            </w:r>
          </w:p>
          <w:p w:rsidR="003D4CC7" w:rsidRPr="00B54F6C" w:rsidRDefault="00B54F6C" w:rsidP="00B54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3D4CC7" w:rsidRPr="00B54F6C">
              <w:rPr>
                <w:rFonts w:ascii="Arial" w:eastAsia="Calibri" w:hAnsi="Arial" w:cs="Arial"/>
                <w:sz w:val="18"/>
                <w:szCs w:val="18"/>
              </w:rPr>
              <w:t>odejmuje czynności związane z wykonaniem tego samego orzeczenia w sprawach już przydzielonych według odrębnych zasad</w:t>
            </w:r>
          </w:p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CC7" w:rsidRPr="00D14BE3" w:rsidTr="00B54F6C">
        <w:tc>
          <w:tcPr>
            <w:tcW w:w="2405" w:type="dxa"/>
            <w:gridSpan w:val="3"/>
            <w:shd w:val="clear" w:color="auto" w:fill="EEECE1" w:themeFill="background2"/>
          </w:tcPr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  <w:r w:rsidRPr="00B54F6C">
              <w:rPr>
                <w:rFonts w:ascii="Arial" w:hAnsi="Arial" w:cs="Arial"/>
                <w:sz w:val="18"/>
                <w:szCs w:val="18"/>
              </w:rPr>
              <w:t>Informacje dodatkowe</w:t>
            </w:r>
          </w:p>
          <w:p w:rsidR="003D4CC7" w:rsidRPr="00B54F6C" w:rsidRDefault="003D4CC7" w:rsidP="00B54F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3D4CC7" w:rsidRPr="00D14BE3" w:rsidRDefault="003D4CC7" w:rsidP="00B54F6C">
            <w:pPr>
              <w:rPr>
                <w:rFonts w:ascii="Arial" w:hAnsi="Arial" w:cs="Arial"/>
                <w:vertAlign w:val="superscript"/>
              </w:rPr>
            </w:pPr>
          </w:p>
          <w:p w:rsidR="003D4CC7" w:rsidRPr="00B54F6C" w:rsidRDefault="00B54F6C" w:rsidP="00B54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4CC7" w:rsidRPr="00B54F6C">
              <w:rPr>
                <w:rFonts w:ascii="Arial" w:hAnsi="Arial" w:cs="Arial"/>
                <w:sz w:val="18"/>
                <w:szCs w:val="18"/>
              </w:rPr>
              <w:t>ełni dyżury związane z rozpoznawaniem spraw w trybie przyspieszonym oraz stosowania środków zapobiegawczych w postaci tymczasowego aresztowania</w:t>
            </w:r>
          </w:p>
          <w:p w:rsidR="003D4CC7" w:rsidRDefault="00B54F6C" w:rsidP="00B54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3D4CC7" w:rsidRPr="00B54F6C">
              <w:rPr>
                <w:rFonts w:ascii="Arial" w:hAnsi="Arial" w:cs="Arial"/>
                <w:sz w:val="18"/>
                <w:szCs w:val="18"/>
              </w:rPr>
              <w:t>astępuje sędziego Agnieszkę Marciszel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4F6C" w:rsidRPr="00B54F6C" w:rsidRDefault="00B54F6C" w:rsidP="00B54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Zastępowana jest przez sędziego Anetę Sidorowicz.</w:t>
            </w:r>
          </w:p>
          <w:p w:rsidR="003D4CC7" w:rsidRPr="00D14BE3" w:rsidRDefault="003D4CC7" w:rsidP="00B54F6C">
            <w:pPr>
              <w:rPr>
                <w:rFonts w:ascii="Arial" w:hAnsi="Arial" w:cs="Arial"/>
              </w:rPr>
            </w:pPr>
          </w:p>
        </w:tc>
      </w:tr>
    </w:tbl>
    <w:p w:rsidR="00B54F6C" w:rsidRPr="00CC28DF" w:rsidRDefault="00B54F6C" w:rsidP="00B54F6C">
      <w:pPr>
        <w:jc w:val="center"/>
        <w:rPr>
          <w:sz w:val="16"/>
          <w:szCs w:val="16"/>
        </w:rPr>
      </w:pPr>
      <w:r w:rsidRPr="00CC28DF">
        <w:rPr>
          <w:sz w:val="16"/>
          <w:szCs w:val="16"/>
        </w:rPr>
        <w:t>PODZIAŁ CZYNNOŚCI</w:t>
      </w:r>
    </w:p>
    <w:p w:rsidR="00B54F6C" w:rsidRPr="00CC28DF" w:rsidRDefault="00B54F6C" w:rsidP="00B54F6C">
      <w:pPr>
        <w:jc w:val="both"/>
        <w:rPr>
          <w:rFonts w:ascii="Arial" w:hAnsi="Arial" w:cs="Arial"/>
          <w:sz w:val="16"/>
          <w:szCs w:val="16"/>
        </w:rPr>
      </w:pPr>
      <w:r w:rsidRPr="00CC28DF">
        <w:rPr>
          <w:sz w:val="18"/>
          <w:szCs w:val="18"/>
        </w:rPr>
        <w:t xml:space="preserve">Na podstawie art. 22 a ustawy z dnia 27 lipca 2001 r. – Prawo o ustroju sądów powszechnych (tekst jednolity: Dz. U. z 2020 r., poz. 2072) w związku z </w:t>
      </w:r>
      <w:r w:rsidRPr="00CC28DF">
        <w:rPr>
          <w:rFonts w:cstheme="minorHAnsi"/>
          <w:sz w:val="18"/>
          <w:szCs w:val="18"/>
        </w:rPr>
        <w:t>§</w:t>
      </w:r>
      <w:r w:rsidRPr="00CC28DF">
        <w:rPr>
          <w:sz w:val="18"/>
          <w:szCs w:val="18"/>
        </w:rPr>
        <w:t xml:space="preserve"> 68 ust. 1 pkt 1, 2</w:t>
      </w:r>
      <w:r>
        <w:rPr>
          <w:sz w:val="18"/>
          <w:szCs w:val="18"/>
        </w:rPr>
        <w:t>a</w:t>
      </w:r>
      <w:r w:rsidRPr="00CC28DF">
        <w:rPr>
          <w:sz w:val="18"/>
          <w:szCs w:val="18"/>
        </w:rPr>
        <w:t xml:space="preserve"> rozporządzenia Ministra Sprawiedliwości z dnia 18 czerwca 2019 r. – Regulamin urzędowania sądów powszechnych (Dz. U. z 2019 r., poz. 1141 ze zm.) oraz art. 15 zzs</w:t>
      </w:r>
      <w:r w:rsidRPr="00CC28DF">
        <w:rPr>
          <w:sz w:val="18"/>
          <w:szCs w:val="18"/>
          <w:vertAlign w:val="superscript"/>
        </w:rPr>
        <w:t xml:space="preserve">5 </w:t>
      </w:r>
      <w:r w:rsidRPr="00CC28DF">
        <w:rPr>
          <w:sz w:val="18"/>
          <w:szCs w:val="18"/>
        </w:rPr>
        <w:t xml:space="preserve">ustawy z dnia 2 marca 2020 r. o szczególnych rozwiązaniach związanych z zapobieganiem, przeciwdziałaniem i zwalczaniem COVID-19, innych chorób zakaźnych oraz wywołanych nimi sytuacji kryzysowych (tekst jednolity: Dz. U. 2021 r,. poz. 2095 ze zm.) ustalam następujący indywidualny podział czynności  </w:t>
      </w:r>
      <w:r w:rsidRPr="00CC28DF">
        <w:rPr>
          <w:b/>
          <w:sz w:val="18"/>
          <w:szCs w:val="18"/>
        </w:rPr>
        <w:t>od 1 stycznia 2022 roku</w:t>
      </w:r>
      <w:r w:rsidRPr="00B54F6C">
        <w:rPr>
          <w:rFonts w:ascii="Arial" w:hAnsi="Arial" w:cs="Arial"/>
          <w:sz w:val="16"/>
          <w:szCs w:val="16"/>
        </w:rPr>
        <w:t xml:space="preserve"> </w:t>
      </w:r>
    </w:p>
    <w:p w:rsidR="00B54F6C" w:rsidRDefault="00B54F6C" w:rsidP="00B54F6C">
      <w:pPr>
        <w:jc w:val="center"/>
        <w:rPr>
          <w:rFonts w:ascii="Arial" w:hAnsi="Arial" w:cs="Arial"/>
          <w:sz w:val="16"/>
          <w:szCs w:val="16"/>
        </w:rPr>
      </w:pPr>
    </w:p>
    <w:p w:rsidR="00B54F6C" w:rsidRDefault="00B54F6C" w:rsidP="00B54F6C">
      <w:pPr>
        <w:jc w:val="center"/>
        <w:rPr>
          <w:rFonts w:ascii="Arial" w:hAnsi="Arial" w:cs="Arial"/>
          <w:sz w:val="16"/>
          <w:szCs w:val="16"/>
        </w:rPr>
      </w:pPr>
    </w:p>
    <w:p w:rsidR="00B54F6C" w:rsidRDefault="00B54F6C" w:rsidP="00B54F6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</w:t>
      </w:r>
    </w:p>
    <w:p w:rsidR="00B54F6C" w:rsidRPr="00CC28DF" w:rsidRDefault="00B54F6C" w:rsidP="00B54F6C">
      <w:pPr>
        <w:jc w:val="center"/>
        <w:rPr>
          <w:rFonts w:ascii="Arial" w:hAnsi="Arial" w:cs="Arial"/>
          <w:sz w:val="16"/>
          <w:szCs w:val="16"/>
        </w:rPr>
      </w:pPr>
      <w:r w:rsidRPr="00CC28DF">
        <w:rPr>
          <w:rFonts w:ascii="Arial" w:hAnsi="Arial" w:cs="Arial"/>
          <w:sz w:val="16"/>
          <w:szCs w:val="16"/>
        </w:rPr>
        <w:t>Plan dyżurów oraz zastępstw sędziów, asesorów sądowych i referendarzy sądowych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4"/>
        <w:gridCol w:w="2206"/>
        <w:gridCol w:w="1928"/>
        <w:gridCol w:w="4806"/>
      </w:tblGrid>
      <w:tr w:rsidR="00B54F6C" w:rsidRPr="00CC28DF" w:rsidTr="00B54F6C">
        <w:tc>
          <w:tcPr>
            <w:tcW w:w="694" w:type="dxa"/>
            <w:shd w:val="clear" w:color="auto" w:fill="EEECE1" w:themeFill="background2"/>
          </w:tcPr>
          <w:p w:rsidR="00B54F6C" w:rsidRPr="00CC28DF" w:rsidRDefault="00B54F6C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06" w:type="dxa"/>
            <w:shd w:val="clear" w:color="auto" w:fill="EEECE1" w:themeFill="background2"/>
          </w:tcPr>
          <w:p w:rsidR="00B54F6C" w:rsidRPr="00CC28DF" w:rsidRDefault="00B54F6C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Rodzaj spraw</w:t>
            </w:r>
          </w:p>
        </w:tc>
        <w:tc>
          <w:tcPr>
            <w:tcW w:w="1928" w:type="dxa"/>
            <w:shd w:val="clear" w:color="auto" w:fill="EEECE1" w:themeFill="background2"/>
          </w:tcPr>
          <w:p w:rsidR="00B54F6C" w:rsidRPr="00CC28DF" w:rsidRDefault="00B54F6C" w:rsidP="00E336D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Liczba dyżurnych i pełniących zastępstwa</w:t>
            </w:r>
          </w:p>
        </w:tc>
        <w:tc>
          <w:tcPr>
            <w:tcW w:w="4806" w:type="dxa"/>
            <w:shd w:val="clear" w:color="auto" w:fill="EEECE1" w:themeFill="background2"/>
          </w:tcPr>
          <w:p w:rsidR="00B54F6C" w:rsidRPr="00CC28DF" w:rsidRDefault="00B54F6C" w:rsidP="00E336D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Wydział i/lub sędziowie, asesorzy sądowi i referendarze sądowi</w:t>
            </w:r>
          </w:p>
        </w:tc>
      </w:tr>
      <w:tr w:rsidR="00B54F6C" w:rsidRPr="00CC28DF" w:rsidTr="00B54F6C">
        <w:tc>
          <w:tcPr>
            <w:tcW w:w="694" w:type="dxa"/>
          </w:tcPr>
          <w:p w:rsidR="00B54F6C" w:rsidRPr="00CC28DF" w:rsidRDefault="00B54F6C" w:rsidP="00E33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6" w:type="dxa"/>
          </w:tcPr>
          <w:p w:rsidR="00B54F6C" w:rsidRPr="00CC28DF" w:rsidRDefault="00B54F6C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Sprawy pilne określone w § 2 ust. 5 rozporządzenia Ministra Sprawiedliwości z dnia 18 czerwca 2019 r. – Regulamin urzędowania sądów powszechnych</w:t>
            </w:r>
          </w:p>
        </w:tc>
        <w:tc>
          <w:tcPr>
            <w:tcW w:w="1928" w:type="dxa"/>
          </w:tcPr>
          <w:p w:rsidR="00B54F6C" w:rsidRPr="00CC28DF" w:rsidRDefault="00B54F6C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1 dyżurny/zastępca 1 zastępca</w:t>
            </w:r>
          </w:p>
        </w:tc>
        <w:tc>
          <w:tcPr>
            <w:tcW w:w="4806" w:type="dxa"/>
          </w:tcPr>
          <w:p w:rsidR="00B54F6C" w:rsidRPr="00CC28DF" w:rsidRDefault="00B54F6C" w:rsidP="00E336DA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Sędziowie II Wydziału Karnego</w:t>
            </w:r>
          </w:p>
        </w:tc>
      </w:tr>
    </w:tbl>
    <w:p w:rsidR="00B54F6C" w:rsidRPr="00CC28DF" w:rsidRDefault="00B54F6C" w:rsidP="00B54F6C">
      <w:pPr>
        <w:jc w:val="both"/>
        <w:rPr>
          <w:sz w:val="16"/>
          <w:szCs w:val="16"/>
        </w:rPr>
      </w:pPr>
    </w:p>
    <w:p w:rsidR="00B54F6C" w:rsidRPr="00CC28DF" w:rsidRDefault="00B54F6C" w:rsidP="00B54F6C">
      <w:pPr>
        <w:pStyle w:val="Bezodstpw"/>
        <w:ind w:left="7080"/>
        <w:rPr>
          <w:sz w:val="16"/>
          <w:szCs w:val="16"/>
        </w:rPr>
      </w:pPr>
      <w:r w:rsidRPr="00CC28DF">
        <w:rPr>
          <w:sz w:val="16"/>
          <w:szCs w:val="16"/>
        </w:rPr>
        <w:t>Prezes Sądu Rejonowego</w:t>
      </w:r>
    </w:p>
    <w:p w:rsidR="00B54F6C" w:rsidRPr="00CC28DF" w:rsidRDefault="00B54F6C" w:rsidP="00B54F6C">
      <w:pPr>
        <w:pStyle w:val="Bezodstpw"/>
        <w:ind w:left="7080"/>
        <w:rPr>
          <w:sz w:val="16"/>
          <w:szCs w:val="16"/>
        </w:rPr>
      </w:pPr>
      <w:r w:rsidRPr="00CC28DF">
        <w:rPr>
          <w:sz w:val="16"/>
          <w:szCs w:val="16"/>
        </w:rPr>
        <w:t xml:space="preserve">            w Sokółce</w:t>
      </w:r>
    </w:p>
    <w:p w:rsidR="00B54F6C" w:rsidRPr="00CC28DF" w:rsidRDefault="00B54F6C" w:rsidP="00B54F6C">
      <w:pPr>
        <w:pStyle w:val="Bezodstpw"/>
        <w:ind w:left="7080"/>
        <w:rPr>
          <w:sz w:val="16"/>
          <w:szCs w:val="16"/>
        </w:rPr>
      </w:pPr>
    </w:p>
    <w:p w:rsidR="00B54F6C" w:rsidRDefault="00B54F6C" w:rsidP="00B54F6C">
      <w:pPr>
        <w:pStyle w:val="Bezodstpw"/>
        <w:ind w:left="7080"/>
        <w:rPr>
          <w:i/>
          <w:sz w:val="16"/>
          <w:szCs w:val="16"/>
        </w:rPr>
      </w:pPr>
      <w:r w:rsidRPr="00CC28DF">
        <w:rPr>
          <w:i/>
          <w:sz w:val="16"/>
          <w:szCs w:val="16"/>
        </w:rPr>
        <w:t xml:space="preserve">     Sławomir Kuczyński</w:t>
      </w:r>
    </w:p>
    <w:p w:rsidR="00AF1F27" w:rsidRDefault="00AF1F27" w:rsidP="00AF1F27">
      <w:pPr>
        <w:pStyle w:val="Bezodstpw"/>
        <w:rPr>
          <w:i/>
          <w:sz w:val="16"/>
          <w:szCs w:val="16"/>
        </w:rPr>
      </w:pPr>
    </w:p>
    <w:p w:rsidR="00AF1F27" w:rsidRPr="00CC28DF" w:rsidRDefault="00AF1F27" w:rsidP="00AF1F27">
      <w:pPr>
        <w:pStyle w:val="Bezodstpw"/>
        <w:jc w:val="center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Na oryginale właściwy podpis</w:t>
      </w:r>
    </w:p>
    <w:p w:rsidR="005A331D" w:rsidRPr="00B54F6C" w:rsidRDefault="005A331D" w:rsidP="003D4CC7">
      <w:pPr>
        <w:jc w:val="both"/>
        <w:rPr>
          <w:b/>
          <w:sz w:val="18"/>
          <w:szCs w:val="18"/>
        </w:rPr>
      </w:pPr>
    </w:p>
    <w:sectPr w:rsidR="005A331D" w:rsidRPr="00B54F6C" w:rsidSect="00B54F6C">
      <w:pgSz w:w="11906" w:h="16838"/>
      <w:pgMar w:top="567" w:right="1134" w:bottom="567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C7"/>
    <w:rsid w:val="000B1E24"/>
    <w:rsid w:val="003367CD"/>
    <w:rsid w:val="003D4CC7"/>
    <w:rsid w:val="005A331D"/>
    <w:rsid w:val="00AF1F27"/>
    <w:rsid w:val="00B5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3E5F"/>
  <w15:chartTrackingRefBased/>
  <w15:docId w15:val="{18E70C01-3ED0-4B67-99C6-1FAC0F9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CC7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CC7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F6C"/>
    <w:pPr>
      <w:spacing w:after="0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Czarnecka Ewa</cp:lastModifiedBy>
  <cp:revision>4</cp:revision>
  <cp:lastPrinted>2021-12-30T12:05:00Z</cp:lastPrinted>
  <dcterms:created xsi:type="dcterms:W3CDTF">2021-12-30T10:34:00Z</dcterms:created>
  <dcterms:modified xsi:type="dcterms:W3CDTF">2022-01-11T13:18:00Z</dcterms:modified>
</cp:coreProperties>
</file>