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63EA" w:rsidRDefault="00675C3B">
      <w:pPr>
        <w:pStyle w:val="Heading10"/>
        <w:keepNext/>
        <w:keepLines/>
        <w:shd w:val="clear" w:color="auto" w:fill="auto"/>
        <w:spacing w:after="648" w:line="240" w:lineRule="exact"/>
      </w:pPr>
      <w:bookmarkStart w:id="0" w:name="bookmark0"/>
      <w:r>
        <w:t xml:space="preserve">Informacja o działalności Sądu </w:t>
      </w:r>
      <w:bookmarkEnd w:id="0"/>
      <w:r w:rsidR="00222A30">
        <w:t>Rejonowego w Sokółce</w:t>
      </w:r>
    </w:p>
    <w:p w:rsidR="00AD63EA" w:rsidRDefault="00675C3B">
      <w:pPr>
        <w:pStyle w:val="Heading10"/>
        <w:keepNext/>
        <w:keepLines/>
        <w:shd w:val="clear" w:color="auto" w:fill="auto"/>
        <w:spacing w:after="2" w:line="240" w:lineRule="exact"/>
      </w:pPr>
      <w:bookmarkStart w:id="1" w:name="bookmark1"/>
      <w:r>
        <w:t>Wymiar sprawiedliwości w Polsce</w:t>
      </w:r>
      <w:bookmarkEnd w:id="1"/>
    </w:p>
    <w:p w:rsidR="00AD63EA" w:rsidRDefault="00675C3B">
      <w:pPr>
        <w:pStyle w:val="Bodytext20"/>
        <w:shd w:val="clear" w:color="auto" w:fill="auto"/>
        <w:spacing w:before="0"/>
        <w:ind w:firstLine="0"/>
      </w:pPr>
      <w:r>
        <w:t>Sąd to niezawisły organ państwowy, którego celem i zadaniem jest sprawowanie wymiaru sprawiedliwości (czyli rozstrzyganie sporów i konfliktów prawnych). Przed sądem ma miejsce realizacja zagwarantowanych Ci przez prawo uprawnień i obowiązków.</w:t>
      </w:r>
    </w:p>
    <w:p w:rsidR="00AD63EA" w:rsidRDefault="00675C3B">
      <w:pPr>
        <w:pStyle w:val="Bodytext20"/>
        <w:shd w:val="clear" w:color="auto" w:fill="auto"/>
        <w:spacing w:before="0"/>
        <w:ind w:firstLine="0"/>
      </w:pPr>
      <w:r>
        <w:t>Wymiar sprawiedliwości w Polsce sprawują następujące sądy:</w:t>
      </w:r>
    </w:p>
    <w:p w:rsidR="00AD63EA" w:rsidRDefault="00675C3B">
      <w:pPr>
        <w:pStyle w:val="Bodytext20"/>
        <w:numPr>
          <w:ilvl w:val="0"/>
          <w:numId w:val="1"/>
        </w:numPr>
        <w:shd w:val="clear" w:color="auto" w:fill="auto"/>
        <w:tabs>
          <w:tab w:val="left" w:pos="760"/>
        </w:tabs>
        <w:spacing w:before="0"/>
        <w:ind w:left="400" w:firstLine="0"/>
      </w:pPr>
      <w:r>
        <w:t>sądy powszechne;</w:t>
      </w:r>
    </w:p>
    <w:p w:rsidR="00AD63EA" w:rsidRDefault="00675C3B">
      <w:pPr>
        <w:pStyle w:val="Bodytext20"/>
        <w:numPr>
          <w:ilvl w:val="0"/>
          <w:numId w:val="1"/>
        </w:numPr>
        <w:shd w:val="clear" w:color="auto" w:fill="auto"/>
        <w:tabs>
          <w:tab w:val="left" w:pos="760"/>
        </w:tabs>
        <w:spacing w:before="0"/>
        <w:ind w:left="400" w:firstLine="0"/>
      </w:pPr>
      <w:r>
        <w:t>sądy administracyjne;</w:t>
      </w:r>
    </w:p>
    <w:p w:rsidR="00AD63EA" w:rsidRDefault="00675C3B">
      <w:pPr>
        <w:pStyle w:val="Bodytext20"/>
        <w:numPr>
          <w:ilvl w:val="0"/>
          <w:numId w:val="1"/>
        </w:numPr>
        <w:shd w:val="clear" w:color="auto" w:fill="auto"/>
        <w:tabs>
          <w:tab w:val="left" w:pos="760"/>
        </w:tabs>
        <w:spacing w:before="0" w:line="446" w:lineRule="exact"/>
        <w:ind w:left="400" w:firstLine="0"/>
      </w:pPr>
      <w:r>
        <w:t>Sąd Najwyższy;</w:t>
      </w:r>
    </w:p>
    <w:p w:rsidR="00AD63EA" w:rsidRDefault="00675C3B">
      <w:pPr>
        <w:pStyle w:val="Bodytext20"/>
        <w:numPr>
          <w:ilvl w:val="0"/>
          <w:numId w:val="1"/>
        </w:numPr>
        <w:shd w:val="clear" w:color="auto" w:fill="auto"/>
        <w:tabs>
          <w:tab w:val="left" w:pos="760"/>
        </w:tabs>
        <w:spacing w:before="0" w:line="446" w:lineRule="exact"/>
        <w:ind w:left="400" w:firstLine="0"/>
      </w:pPr>
      <w:r>
        <w:t>sądy wojskowe.</w:t>
      </w:r>
    </w:p>
    <w:p w:rsidR="00AD63EA" w:rsidRDefault="00675C3B">
      <w:pPr>
        <w:pStyle w:val="Bodytext20"/>
        <w:shd w:val="clear" w:color="auto" w:fill="auto"/>
        <w:spacing w:before="0" w:after="428" w:line="446" w:lineRule="exact"/>
        <w:ind w:firstLine="0"/>
      </w:pPr>
      <w:r>
        <w:t xml:space="preserve">Sąd </w:t>
      </w:r>
      <w:r w:rsidR="00222A30">
        <w:t>Rejonowy w Sokółce</w:t>
      </w:r>
      <w:r>
        <w:t xml:space="preserve"> jest sądem powszechnym.</w:t>
      </w:r>
    </w:p>
    <w:p w:rsidR="00AD63EA" w:rsidRDefault="00675C3B">
      <w:pPr>
        <w:pStyle w:val="Heading10"/>
        <w:keepNext/>
        <w:keepLines/>
        <w:shd w:val="clear" w:color="auto" w:fill="auto"/>
        <w:spacing w:after="0" w:line="437" w:lineRule="exact"/>
      </w:pPr>
      <w:bookmarkStart w:id="2" w:name="bookmark2"/>
      <w:r>
        <w:t>Co to są sądy powszechne i czym się zajmują?</w:t>
      </w:r>
      <w:bookmarkEnd w:id="2"/>
    </w:p>
    <w:p w:rsidR="00AD63EA" w:rsidRDefault="00675C3B">
      <w:pPr>
        <w:pStyle w:val="Bodytext20"/>
        <w:shd w:val="clear" w:color="auto" w:fill="auto"/>
        <w:spacing w:before="0" w:after="578" w:line="437" w:lineRule="exact"/>
        <w:ind w:firstLine="0"/>
      </w:pPr>
      <w:r>
        <w:t>Sądami powszechnymi są sądy, które sprawują wymiar sprawiedliwości w sprawach nienależących do właściwości sądów administracyjnych, wojskowych oraz Sądu Najwyższego.</w:t>
      </w:r>
    </w:p>
    <w:p w:rsidR="00AD63EA" w:rsidRDefault="00675C3B">
      <w:pPr>
        <w:pStyle w:val="Heading10"/>
        <w:keepNext/>
        <w:keepLines/>
        <w:shd w:val="clear" w:color="auto" w:fill="auto"/>
        <w:spacing w:after="163" w:line="240" w:lineRule="exact"/>
      </w:pPr>
      <w:bookmarkStart w:id="3" w:name="bookmark3"/>
      <w:r>
        <w:t>Jakie są rodzaje sądów powszechnych?</w:t>
      </w:r>
      <w:bookmarkEnd w:id="3"/>
    </w:p>
    <w:p w:rsidR="00AD63EA" w:rsidRDefault="00675C3B">
      <w:pPr>
        <w:pStyle w:val="Bodytext20"/>
        <w:shd w:val="clear" w:color="auto" w:fill="auto"/>
        <w:spacing w:before="0" w:after="486" w:line="240" w:lineRule="exact"/>
        <w:ind w:firstLine="0"/>
      </w:pPr>
      <w:r>
        <w:t>Wśród sądów powszechnych wyróżniamy: sądy rejonowe, sądy okręgowe i sądy apelacyjne.</w:t>
      </w:r>
    </w:p>
    <w:p w:rsidR="00AD63EA" w:rsidRDefault="00675C3B">
      <w:pPr>
        <w:pStyle w:val="Bodytext20"/>
        <w:shd w:val="clear" w:color="auto" w:fill="auto"/>
        <w:spacing w:before="0" w:after="420" w:line="437" w:lineRule="exact"/>
        <w:ind w:firstLine="0"/>
      </w:pPr>
      <w:r>
        <w:rPr>
          <w:rStyle w:val="Bodytext2Bold"/>
        </w:rPr>
        <w:t xml:space="preserve">Sąd rejonowy </w:t>
      </w:r>
      <w:r>
        <w:t>jest powołany do rozpoznawania większości spraw, z wyjątkiem zastrzeżonych dla pozostałych sądów. Tego rodzaju sąd prowadzi największą liczbę postępowań. Co do zasady właściwość sądu rejonowego - a więc jego kompetencja do orzekania w sprawie, rozciąga się na obszar jednej lub kilku gmin. Sąd rejonowy jest co do zasady sądem pierwszej instancji.</w:t>
      </w:r>
    </w:p>
    <w:p w:rsidR="00AD63EA" w:rsidRDefault="00675C3B">
      <w:pPr>
        <w:pStyle w:val="Bodytext20"/>
        <w:shd w:val="clear" w:color="auto" w:fill="auto"/>
        <w:spacing w:before="0" w:line="437" w:lineRule="exact"/>
        <w:ind w:firstLine="0"/>
      </w:pPr>
      <w:r>
        <w:rPr>
          <w:rStyle w:val="Bodytext2Bold"/>
        </w:rPr>
        <w:t xml:space="preserve">Sąd okręgowy </w:t>
      </w:r>
      <w:r>
        <w:t>to sąd, dla którego zastrzeżone zostało orzekanie w sprawach poważniejszych. Jego właściwość obejmuje obszar działania kilku sądów rejonowych. Sąd okręgowy może być sądem zarówno pierwszej, jak i drugiej instancji.</w:t>
      </w:r>
    </w:p>
    <w:p w:rsidR="00732498" w:rsidRDefault="00732498">
      <w:pPr>
        <w:pStyle w:val="Bodytext20"/>
        <w:shd w:val="clear" w:color="auto" w:fill="auto"/>
        <w:spacing w:before="0" w:line="437" w:lineRule="exact"/>
        <w:ind w:firstLine="0"/>
      </w:pPr>
    </w:p>
    <w:p w:rsidR="00AD63EA" w:rsidRDefault="00675C3B">
      <w:pPr>
        <w:pStyle w:val="Bodytext20"/>
        <w:shd w:val="clear" w:color="auto" w:fill="auto"/>
        <w:spacing w:before="0" w:after="416" w:line="437" w:lineRule="exact"/>
        <w:ind w:firstLine="0"/>
      </w:pPr>
      <w:r>
        <w:rPr>
          <w:rStyle w:val="Bodytext2Bold"/>
        </w:rPr>
        <w:t xml:space="preserve">Sąd apelacyjny </w:t>
      </w:r>
      <w:r>
        <w:t xml:space="preserve">to co do zasady sąd drugiej instancji. Jego właściwość obejmuje obszar działania minimum dwóch sądów okręgowych, a zasiadanie w nim zastrzeżone jest dla </w:t>
      </w:r>
      <w:r>
        <w:lastRenderedPageBreak/>
        <w:t>sędziów o szczególnie wysokim stopniu wiedzy i dużym doświadczeniu w zakresie orzekania.</w:t>
      </w:r>
    </w:p>
    <w:p w:rsidR="00AD63EA" w:rsidRDefault="00675C3B">
      <w:pPr>
        <w:pStyle w:val="Heading10"/>
        <w:keepNext/>
        <w:keepLines/>
        <w:shd w:val="clear" w:color="auto" w:fill="auto"/>
        <w:spacing w:after="0" w:line="442" w:lineRule="exact"/>
      </w:pPr>
      <w:bookmarkStart w:id="4" w:name="bookmark4"/>
      <w:r>
        <w:t xml:space="preserve">O Sądzie </w:t>
      </w:r>
      <w:bookmarkEnd w:id="4"/>
      <w:r w:rsidR="00EC7A0C">
        <w:t>Rejonowym w Sokółce</w:t>
      </w:r>
    </w:p>
    <w:p w:rsidR="00AD63EA" w:rsidRDefault="00675C3B">
      <w:pPr>
        <w:pStyle w:val="Bodytext20"/>
        <w:shd w:val="clear" w:color="auto" w:fill="auto"/>
        <w:spacing w:before="0"/>
        <w:ind w:firstLine="0"/>
      </w:pPr>
      <w:r>
        <w:t xml:space="preserve">Sąd </w:t>
      </w:r>
      <w:r w:rsidR="00EC7A0C">
        <w:t>Rejonowy w Sokółce</w:t>
      </w:r>
      <w:r>
        <w:t xml:space="preserve"> jest jednostką organizacyjną Skarbu Państwa nie posiadającą osobowości prawnej, finansowaną z budżetu. Jako element władzy sądowniczej działa w oparciu o Konstytucję RP z dnia 2 kwietnia 1997 r. Zasady organizacji pracy sądu regulują następujące akty prawne:</w:t>
      </w:r>
    </w:p>
    <w:p w:rsidR="00AD63EA" w:rsidRPr="00E679BE" w:rsidRDefault="00670B72">
      <w:pPr>
        <w:pStyle w:val="Bodytext20"/>
        <w:numPr>
          <w:ilvl w:val="0"/>
          <w:numId w:val="1"/>
        </w:numPr>
        <w:shd w:val="clear" w:color="auto" w:fill="auto"/>
        <w:tabs>
          <w:tab w:val="left" w:pos="768"/>
        </w:tabs>
        <w:spacing w:before="0"/>
        <w:ind w:left="760"/>
        <w:rPr>
          <w:color w:val="000000" w:themeColor="text1"/>
        </w:rPr>
      </w:pPr>
      <w:r>
        <w:t>U</w:t>
      </w:r>
      <w:r w:rsidR="00675C3B">
        <w:t>stawa z dnia 27 lipca 2001 r. - Prawo o ustroju sądów powszechnych (</w:t>
      </w:r>
      <w:r w:rsidR="00675C3B" w:rsidRPr="00E679BE">
        <w:rPr>
          <w:color w:val="000000" w:themeColor="text1"/>
        </w:rPr>
        <w:t>Dz.U.2020.</w:t>
      </w:r>
      <w:r w:rsidR="0049795B" w:rsidRPr="00E679BE">
        <w:rPr>
          <w:color w:val="000000" w:themeColor="text1"/>
        </w:rPr>
        <w:t>2072 ze zm</w:t>
      </w:r>
      <w:r w:rsidR="003E6551">
        <w:rPr>
          <w:color w:val="000000" w:themeColor="text1"/>
        </w:rPr>
        <w:t>ianami</w:t>
      </w:r>
      <w:r w:rsidR="00675C3B" w:rsidRPr="00E679BE">
        <w:rPr>
          <w:color w:val="000000" w:themeColor="text1"/>
        </w:rPr>
        <w:t>);</w:t>
      </w:r>
    </w:p>
    <w:p w:rsidR="00AD63EA" w:rsidRPr="00E679BE" w:rsidRDefault="0049795B">
      <w:pPr>
        <w:pStyle w:val="Bodytext20"/>
        <w:numPr>
          <w:ilvl w:val="0"/>
          <w:numId w:val="1"/>
        </w:numPr>
        <w:shd w:val="clear" w:color="auto" w:fill="auto"/>
        <w:tabs>
          <w:tab w:val="left" w:pos="768"/>
        </w:tabs>
        <w:spacing w:before="0"/>
        <w:ind w:left="760"/>
        <w:rPr>
          <w:color w:val="000000" w:themeColor="text1"/>
        </w:rPr>
      </w:pPr>
      <w:r>
        <w:t>R</w:t>
      </w:r>
      <w:r w:rsidR="00675C3B">
        <w:t xml:space="preserve">ozporządzenie Ministra Sprawiedliwości z dnia 20 grudnia 2012 r. w sprawie nadzoru nad działalnością administracyjną sądów </w:t>
      </w:r>
      <w:r w:rsidR="00675C3B" w:rsidRPr="00E679BE">
        <w:rPr>
          <w:color w:val="000000" w:themeColor="text1"/>
        </w:rPr>
        <w:t>(</w:t>
      </w:r>
      <w:r w:rsidR="003E6551">
        <w:rPr>
          <w:color w:val="000000" w:themeColor="text1"/>
        </w:rPr>
        <w:t xml:space="preserve">tekst jednolity </w:t>
      </w:r>
      <w:r w:rsidR="00675C3B" w:rsidRPr="00E679BE">
        <w:rPr>
          <w:color w:val="000000" w:themeColor="text1"/>
        </w:rPr>
        <w:t>Dz.U.</w:t>
      </w:r>
      <w:r w:rsidRPr="00E679BE">
        <w:rPr>
          <w:color w:val="000000" w:themeColor="text1"/>
        </w:rPr>
        <w:t>2021.1166)</w:t>
      </w:r>
      <w:r w:rsidR="00E679BE">
        <w:rPr>
          <w:color w:val="000000" w:themeColor="text1"/>
        </w:rPr>
        <w:t>;</w:t>
      </w:r>
    </w:p>
    <w:p w:rsidR="00AD63EA" w:rsidRDefault="0049795B">
      <w:pPr>
        <w:pStyle w:val="Bodytext20"/>
        <w:numPr>
          <w:ilvl w:val="0"/>
          <w:numId w:val="1"/>
        </w:numPr>
        <w:shd w:val="clear" w:color="auto" w:fill="auto"/>
        <w:tabs>
          <w:tab w:val="left" w:pos="768"/>
        </w:tabs>
        <w:spacing w:before="0"/>
        <w:ind w:left="760"/>
      </w:pPr>
      <w:r>
        <w:t>R</w:t>
      </w:r>
      <w:r w:rsidR="00675C3B">
        <w:t>ozporządzenie Ministra Sprawiedliwości z dnia 18 czerwca 2019 r. Regulamin urzędowania sądów powszechnych (</w:t>
      </w:r>
      <w:r w:rsidR="00675C3B" w:rsidRPr="00E679BE">
        <w:rPr>
          <w:color w:val="000000" w:themeColor="text1"/>
        </w:rPr>
        <w:t>Dz.U.</w:t>
      </w:r>
      <w:r w:rsidRPr="00E679BE">
        <w:rPr>
          <w:color w:val="000000" w:themeColor="text1"/>
        </w:rPr>
        <w:t>2021.2046 ze zm</w:t>
      </w:r>
      <w:r w:rsidR="003E6551">
        <w:rPr>
          <w:color w:val="000000" w:themeColor="text1"/>
        </w:rPr>
        <w:t>ianami)</w:t>
      </w:r>
      <w:r w:rsidR="00675C3B" w:rsidRPr="00E679BE">
        <w:rPr>
          <w:color w:val="000000" w:themeColor="text1"/>
        </w:rPr>
        <w:t>;</w:t>
      </w:r>
    </w:p>
    <w:p w:rsidR="00AD63EA" w:rsidRPr="00E679BE" w:rsidRDefault="0049795B">
      <w:pPr>
        <w:pStyle w:val="Bodytext20"/>
        <w:numPr>
          <w:ilvl w:val="0"/>
          <w:numId w:val="1"/>
        </w:numPr>
        <w:shd w:val="clear" w:color="auto" w:fill="auto"/>
        <w:tabs>
          <w:tab w:val="left" w:pos="768"/>
        </w:tabs>
        <w:spacing w:before="0"/>
        <w:ind w:left="760"/>
        <w:rPr>
          <w:color w:val="000000" w:themeColor="text1"/>
        </w:rPr>
      </w:pPr>
      <w:r>
        <w:t>Z</w:t>
      </w:r>
      <w:r w:rsidR="00675C3B">
        <w:t xml:space="preserve">arządzenie Ministra Sprawiedliwości z dnia 19 czerwca 2019 r. w sprawie organizacji i zakresu działania sekretariatów sądowych oraz innych działów administracji sądowej </w:t>
      </w:r>
      <w:r w:rsidR="00675C3B" w:rsidRPr="00E679BE">
        <w:rPr>
          <w:color w:val="000000" w:themeColor="text1"/>
        </w:rPr>
        <w:t>(Dz.Urz.MS.2019.138 z</w:t>
      </w:r>
      <w:r w:rsidRPr="00E679BE">
        <w:rPr>
          <w:color w:val="000000" w:themeColor="text1"/>
        </w:rPr>
        <w:t>e zm</w:t>
      </w:r>
      <w:r w:rsidR="003E6551">
        <w:rPr>
          <w:color w:val="000000" w:themeColor="text1"/>
        </w:rPr>
        <w:t>ianami</w:t>
      </w:r>
      <w:r w:rsidRPr="00E679BE">
        <w:rPr>
          <w:color w:val="000000" w:themeColor="text1"/>
        </w:rPr>
        <w:t>);</w:t>
      </w:r>
    </w:p>
    <w:p w:rsidR="00AD63EA" w:rsidRPr="00E679BE" w:rsidRDefault="0049795B">
      <w:pPr>
        <w:pStyle w:val="Bodytext20"/>
        <w:numPr>
          <w:ilvl w:val="0"/>
          <w:numId w:val="1"/>
        </w:numPr>
        <w:shd w:val="clear" w:color="auto" w:fill="auto"/>
        <w:tabs>
          <w:tab w:val="left" w:pos="768"/>
        </w:tabs>
        <w:spacing w:before="0"/>
        <w:ind w:left="760"/>
        <w:rPr>
          <w:color w:val="000000" w:themeColor="text1"/>
        </w:rPr>
      </w:pPr>
      <w:r>
        <w:t>R</w:t>
      </w:r>
      <w:r w:rsidR="00675C3B">
        <w:t xml:space="preserve">ozporządzenie Ministra Sprawiedliwości z dnia 19 grudnia 2012 roku w sprawie szczegółowych zasad prowadzenia gospodarki finansowej i działalności inwestycyjnej sądów powszechnych </w:t>
      </w:r>
      <w:r w:rsidR="00675C3B" w:rsidRPr="00E679BE">
        <w:rPr>
          <w:color w:val="000000" w:themeColor="text1"/>
        </w:rPr>
        <w:t>(Dz.U.</w:t>
      </w:r>
      <w:r w:rsidRPr="00E679BE">
        <w:rPr>
          <w:color w:val="000000" w:themeColor="text1"/>
        </w:rPr>
        <w:t>2021.1575 ze zm</w:t>
      </w:r>
      <w:r w:rsidR="003E6551">
        <w:rPr>
          <w:color w:val="000000" w:themeColor="text1"/>
        </w:rPr>
        <w:t>ianami</w:t>
      </w:r>
      <w:r w:rsidRPr="00E679BE">
        <w:rPr>
          <w:color w:val="000000" w:themeColor="text1"/>
        </w:rPr>
        <w:t>);</w:t>
      </w:r>
    </w:p>
    <w:p w:rsidR="00AD63EA" w:rsidRPr="00E679BE" w:rsidRDefault="0049795B">
      <w:pPr>
        <w:pStyle w:val="Bodytext20"/>
        <w:numPr>
          <w:ilvl w:val="0"/>
          <w:numId w:val="1"/>
        </w:numPr>
        <w:shd w:val="clear" w:color="auto" w:fill="auto"/>
        <w:tabs>
          <w:tab w:val="left" w:pos="768"/>
        </w:tabs>
        <w:spacing w:before="0" w:after="424"/>
        <w:ind w:left="760"/>
        <w:rPr>
          <w:color w:val="000000" w:themeColor="text1"/>
        </w:rPr>
      </w:pPr>
      <w:r w:rsidRPr="0049795B">
        <w:rPr>
          <w:color w:val="000000" w:themeColor="text1"/>
        </w:rPr>
        <w:t>R</w:t>
      </w:r>
      <w:r w:rsidR="00675C3B" w:rsidRPr="0049795B">
        <w:rPr>
          <w:color w:val="000000" w:themeColor="text1"/>
        </w:rPr>
        <w:t>ozporządzenie Ministra Sprawiedliwości z dnia 28 grudnia 2018 r. w sprawie ustalenia siedzib i obszarów właściwości sądów apelacyjnych, sądów okręgowych i sądów rejonowych oraz zakresu rozpoznawanych przez nie spraw</w:t>
      </w:r>
      <w:r w:rsidR="00675C3B" w:rsidRPr="00EC7A0C">
        <w:rPr>
          <w:color w:val="FF0000"/>
        </w:rPr>
        <w:t xml:space="preserve"> </w:t>
      </w:r>
      <w:r w:rsidR="00675C3B" w:rsidRPr="00E679BE">
        <w:rPr>
          <w:color w:val="000000" w:themeColor="text1"/>
        </w:rPr>
        <w:t>(Dz.U.</w:t>
      </w:r>
      <w:r w:rsidRPr="00E679BE">
        <w:rPr>
          <w:color w:val="000000" w:themeColor="text1"/>
        </w:rPr>
        <w:t>2021.1269 ze</w:t>
      </w:r>
      <w:r w:rsidR="00675C3B" w:rsidRPr="00E679BE">
        <w:rPr>
          <w:color w:val="000000" w:themeColor="text1"/>
        </w:rPr>
        <w:t xml:space="preserve"> zm</w:t>
      </w:r>
      <w:r w:rsidR="003E6551">
        <w:rPr>
          <w:color w:val="000000" w:themeColor="text1"/>
        </w:rPr>
        <w:t>ianami</w:t>
      </w:r>
      <w:r w:rsidR="00675C3B" w:rsidRPr="00E679BE">
        <w:rPr>
          <w:color w:val="000000" w:themeColor="text1"/>
        </w:rPr>
        <w:t>);</w:t>
      </w:r>
    </w:p>
    <w:p w:rsidR="00AD63EA" w:rsidRDefault="00675C3B">
      <w:pPr>
        <w:pStyle w:val="Heading10"/>
        <w:keepNext/>
        <w:keepLines/>
        <w:shd w:val="clear" w:color="auto" w:fill="auto"/>
        <w:spacing w:after="0" w:line="437" w:lineRule="exact"/>
      </w:pPr>
      <w:bookmarkStart w:id="5" w:name="bookmark5"/>
      <w:r>
        <w:t>Właściwość miejscowa</w:t>
      </w:r>
      <w:bookmarkEnd w:id="5"/>
    </w:p>
    <w:p w:rsidR="00AD63EA" w:rsidRDefault="00675C3B">
      <w:pPr>
        <w:pStyle w:val="Bodytext20"/>
        <w:shd w:val="clear" w:color="auto" w:fill="auto"/>
        <w:spacing w:before="0" w:line="437" w:lineRule="exact"/>
        <w:ind w:firstLine="0"/>
      </w:pPr>
      <w:r>
        <w:t>Właściwość miejscowa pozwala na ustalenie, który z sądów tego samego rzędu jest właściwy do rozpoznania konkretnej sprawy. Zgodnie z rozporządzeniem Ministra Sprawiedliwości z dnia 28 grudnia 2018 r. w sprawie ustalenia siedzib i obszarów właściwości sądów apelacyjnych, sądów okręgowych i sądów rejonowych (Dz.U. z 2018 r., poz. 2548 z późn</w:t>
      </w:r>
      <w:r w:rsidR="003E6551">
        <w:t>iejszymi</w:t>
      </w:r>
      <w:r>
        <w:t xml:space="preserve"> zm</w:t>
      </w:r>
      <w:r w:rsidR="003E6551">
        <w:t>ianami</w:t>
      </w:r>
      <w:r>
        <w:t xml:space="preserve">) - w obszarze właściwości Sądu </w:t>
      </w:r>
      <w:r w:rsidR="00F3773F">
        <w:t>Rejonowego w Sokółce</w:t>
      </w:r>
      <w:r>
        <w:t xml:space="preserve"> znajdują się:</w:t>
      </w:r>
    </w:p>
    <w:p w:rsidR="00AD63EA" w:rsidRPr="00CE34B1" w:rsidRDefault="00CE34B1">
      <w:pPr>
        <w:pStyle w:val="Bodytext20"/>
        <w:numPr>
          <w:ilvl w:val="0"/>
          <w:numId w:val="1"/>
        </w:numPr>
        <w:shd w:val="clear" w:color="auto" w:fill="auto"/>
        <w:tabs>
          <w:tab w:val="left" w:pos="769"/>
        </w:tabs>
        <w:spacing w:before="0"/>
        <w:ind w:left="760"/>
        <w:rPr>
          <w:color w:val="000000" w:themeColor="text1"/>
        </w:rPr>
      </w:pPr>
      <w:r w:rsidRPr="00CE34B1">
        <w:rPr>
          <w:color w:val="000000" w:themeColor="text1"/>
        </w:rPr>
        <w:t>m</w:t>
      </w:r>
      <w:r w:rsidR="00732498" w:rsidRPr="00CE34B1">
        <w:rPr>
          <w:color w:val="000000" w:themeColor="text1"/>
        </w:rPr>
        <w:t xml:space="preserve">iasto </w:t>
      </w:r>
      <w:r w:rsidRPr="00CE34B1">
        <w:rPr>
          <w:color w:val="000000" w:themeColor="text1"/>
        </w:rPr>
        <w:t xml:space="preserve">i </w:t>
      </w:r>
      <w:r w:rsidR="00732498" w:rsidRPr="00CE34B1">
        <w:rPr>
          <w:color w:val="000000" w:themeColor="text1"/>
        </w:rPr>
        <w:t>gmin</w:t>
      </w:r>
      <w:r w:rsidR="00670B72">
        <w:rPr>
          <w:color w:val="000000" w:themeColor="text1"/>
        </w:rPr>
        <w:t>a</w:t>
      </w:r>
      <w:r w:rsidR="00732498" w:rsidRPr="00CE34B1">
        <w:rPr>
          <w:color w:val="000000" w:themeColor="text1"/>
        </w:rPr>
        <w:t xml:space="preserve"> </w:t>
      </w:r>
      <w:r w:rsidR="0049795B" w:rsidRPr="00CE34B1">
        <w:rPr>
          <w:color w:val="000000" w:themeColor="text1"/>
        </w:rPr>
        <w:t xml:space="preserve">Sokółka, </w:t>
      </w:r>
      <w:r w:rsidRPr="00CE34B1">
        <w:rPr>
          <w:color w:val="000000" w:themeColor="text1"/>
        </w:rPr>
        <w:t>miasto i gmin</w:t>
      </w:r>
      <w:r w:rsidR="00670B72">
        <w:rPr>
          <w:color w:val="000000" w:themeColor="text1"/>
        </w:rPr>
        <w:t>a</w:t>
      </w:r>
      <w:r w:rsidRPr="00CE34B1">
        <w:rPr>
          <w:color w:val="000000" w:themeColor="text1"/>
        </w:rPr>
        <w:t xml:space="preserve"> Dąbrowa Białostocka, miasto i gmin</w:t>
      </w:r>
      <w:r w:rsidR="00670B72">
        <w:rPr>
          <w:color w:val="000000" w:themeColor="text1"/>
        </w:rPr>
        <w:t>a</w:t>
      </w:r>
      <w:r w:rsidRPr="00CE34B1">
        <w:rPr>
          <w:color w:val="000000" w:themeColor="text1"/>
        </w:rPr>
        <w:t xml:space="preserve"> </w:t>
      </w:r>
      <w:r w:rsidRPr="00CE34B1">
        <w:rPr>
          <w:color w:val="000000" w:themeColor="text1"/>
        </w:rPr>
        <w:lastRenderedPageBreak/>
        <w:t>Suchowola oraz gminy: Janów, Korycin, Krynki, Kuźnica, Nowy Dwór, Sidra, Szudziałowo.</w:t>
      </w:r>
    </w:p>
    <w:p w:rsidR="00AD63EA" w:rsidRDefault="00675C3B">
      <w:pPr>
        <w:pStyle w:val="Heading10"/>
        <w:keepNext/>
        <w:keepLines/>
        <w:shd w:val="clear" w:color="auto" w:fill="auto"/>
        <w:spacing w:after="0" w:line="446" w:lineRule="exact"/>
        <w:jc w:val="left"/>
      </w:pPr>
      <w:bookmarkStart w:id="6" w:name="bookmark6"/>
      <w:r>
        <w:t xml:space="preserve">Jak skontaktować się z Sądem </w:t>
      </w:r>
      <w:bookmarkEnd w:id="6"/>
      <w:r w:rsidR="00F3773F">
        <w:t>Rejonowym w Sokółce</w:t>
      </w:r>
    </w:p>
    <w:p w:rsidR="00AD63EA" w:rsidRDefault="00670B72">
      <w:pPr>
        <w:pStyle w:val="Bodytext20"/>
        <w:shd w:val="clear" w:color="auto" w:fill="auto"/>
        <w:spacing w:before="0" w:line="446" w:lineRule="exact"/>
        <w:ind w:firstLine="0"/>
        <w:jc w:val="left"/>
      </w:pPr>
      <w:r>
        <w:t>W celu</w:t>
      </w:r>
      <w:r w:rsidR="00675C3B">
        <w:t xml:space="preserve"> załatwi</w:t>
      </w:r>
      <w:r>
        <w:t>enia</w:t>
      </w:r>
      <w:r w:rsidR="00675C3B">
        <w:t xml:space="preserve"> sprawy w Sądzie osoby z niepełnosprawnościami mogą:</w:t>
      </w:r>
    </w:p>
    <w:p w:rsidR="00AD63EA" w:rsidRDefault="00675C3B">
      <w:pPr>
        <w:pStyle w:val="Bodytext20"/>
        <w:numPr>
          <w:ilvl w:val="0"/>
          <w:numId w:val="1"/>
        </w:numPr>
        <w:shd w:val="clear" w:color="auto" w:fill="auto"/>
        <w:tabs>
          <w:tab w:val="left" w:pos="769"/>
        </w:tabs>
        <w:spacing w:before="0" w:line="446" w:lineRule="exact"/>
        <w:ind w:left="760"/>
      </w:pPr>
      <w:r>
        <w:t xml:space="preserve">napisać pismo i wysłać je na adres: Sąd </w:t>
      </w:r>
      <w:r w:rsidR="00F3773F">
        <w:t>Rejonowy w Sokółce</w:t>
      </w:r>
      <w:r>
        <w:t xml:space="preserve"> ulica </w:t>
      </w:r>
      <w:r w:rsidR="00F3773F">
        <w:t>Marszałka Józefa Piłsudskiego 7</w:t>
      </w:r>
      <w:r>
        <w:t xml:space="preserve"> </w:t>
      </w:r>
      <w:r w:rsidR="00F3773F">
        <w:t>16 – 100 Sokółka</w:t>
      </w:r>
    </w:p>
    <w:p w:rsidR="00AD63EA" w:rsidRDefault="00675C3B">
      <w:pPr>
        <w:pStyle w:val="Bodytext20"/>
        <w:numPr>
          <w:ilvl w:val="0"/>
          <w:numId w:val="1"/>
        </w:numPr>
        <w:shd w:val="clear" w:color="auto" w:fill="auto"/>
        <w:tabs>
          <w:tab w:val="left" w:pos="769"/>
        </w:tabs>
        <w:spacing w:before="0" w:line="446" w:lineRule="exact"/>
        <w:ind w:left="760"/>
      </w:pPr>
      <w:r>
        <w:t xml:space="preserve">napisać pismo i złożyć je w Biurze Podawczym, parter pokój </w:t>
      </w:r>
      <w:r>
        <w:rPr>
          <w:rStyle w:val="Bodytext21"/>
        </w:rPr>
        <w:t>1,</w:t>
      </w:r>
      <w:r>
        <w:t xml:space="preserve"> w godzinach urzędowania Sądu</w:t>
      </w:r>
    </w:p>
    <w:p w:rsidR="00AD63EA" w:rsidRDefault="00675C3B">
      <w:pPr>
        <w:pStyle w:val="Bodytext20"/>
        <w:numPr>
          <w:ilvl w:val="0"/>
          <w:numId w:val="1"/>
        </w:numPr>
        <w:shd w:val="clear" w:color="auto" w:fill="auto"/>
        <w:tabs>
          <w:tab w:val="left" w:pos="769"/>
        </w:tabs>
        <w:spacing w:before="0" w:line="446" w:lineRule="exact"/>
        <w:ind w:left="760"/>
      </w:pPr>
      <w:r>
        <w:t>napisać wiadomość i wysłać na adres e-mail:</w:t>
      </w:r>
      <w:hyperlink r:id="rId7" w:history="1">
        <w:r w:rsidR="00F3773F" w:rsidRPr="00E74E21">
          <w:rPr>
            <w:rStyle w:val="Hipercze"/>
          </w:rPr>
          <w:t xml:space="preserve"> boi@sokolka.sr.gov.pl</w:t>
        </w:r>
      </w:hyperlink>
    </w:p>
    <w:p w:rsidR="00AD63EA" w:rsidRDefault="00675C3B">
      <w:pPr>
        <w:pStyle w:val="Bodytext20"/>
        <w:numPr>
          <w:ilvl w:val="0"/>
          <w:numId w:val="1"/>
        </w:numPr>
        <w:shd w:val="clear" w:color="auto" w:fill="auto"/>
        <w:tabs>
          <w:tab w:val="left" w:pos="769"/>
        </w:tabs>
        <w:spacing w:before="0" w:line="446" w:lineRule="exact"/>
        <w:ind w:left="760"/>
      </w:pPr>
      <w:bookmarkStart w:id="7" w:name="_GoBack"/>
      <w:bookmarkEnd w:id="7"/>
      <w:r>
        <w:t xml:space="preserve">zadzwonić pod numer </w:t>
      </w:r>
      <w:bookmarkStart w:id="8" w:name="_Hlk106610760"/>
      <w:r>
        <w:t xml:space="preserve">85 </w:t>
      </w:r>
      <w:r w:rsidR="00F3773F">
        <w:t>7114129</w:t>
      </w:r>
      <w:bookmarkEnd w:id="8"/>
    </w:p>
    <w:p w:rsidR="00AD63EA" w:rsidRDefault="00675C3B">
      <w:pPr>
        <w:pStyle w:val="Bodytext20"/>
        <w:numPr>
          <w:ilvl w:val="0"/>
          <w:numId w:val="1"/>
        </w:numPr>
        <w:shd w:val="clear" w:color="auto" w:fill="auto"/>
        <w:tabs>
          <w:tab w:val="left" w:pos="769"/>
        </w:tabs>
        <w:spacing w:before="0" w:line="446" w:lineRule="exact"/>
        <w:ind w:left="760"/>
      </w:pPr>
      <w:r>
        <w:t xml:space="preserve">wysłać </w:t>
      </w:r>
      <w:r w:rsidR="00007593">
        <w:rPr>
          <w:lang w:val="en-US" w:eastAsia="en-US" w:bidi="en-US"/>
        </w:rPr>
        <w:t>fax</w:t>
      </w:r>
      <w:r>
        <w:rPr>
          <w:lang w:val="en-US" w:eastAsia="en-US" w:bidi="en-US"/>
        </w:rPr>
        <w:t xml:space="preserve"> </w:t>
      </w:r>
      <w:r>
        <w:t xml:space="preserve">pod numer </w:t>
      </w:r>
      <w:bookmarkStart w:id="9" w:name="_Hlk106610775"/>
      <w:r>
        <w:t xml:space="preserve">85 </w:t>
      </w:r>
      <w:r w:rsidR="00F3773F">
        <w:t>7112022</w:t>
      </w:r>
      <w:bookmarkEnd w:id="9"/>
    </w:p>
    <w:sectPr w:rsidR="00AD63EA">
      <w:pgSz w:w="11900" w:h="16840"/>
      <w:pgMar w:top="1442" w:right="1389" w:bottom="1420" w:left="138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4ACE" w:rsidRDefault="00544ACE">
      <w:r>
        <w:separator/>
      </w:r>
    </w:p>
  </w:endnote>
  <w:endnote w:type="continuationSeparator" w:id="0">
    <w:p w:rsidR="00544ACE" w:rsidRDefault="00544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4ACE" w:rsidRDefault="00544ACE"/>
  </w:footnote>
  <w:footnote w:type="continuationSeparator" w:id="0">
    <w:p w:rsidR="00544ACE" w:rsidRDefault="00544AC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E06D65"/>
    <w:multiLevelType w:val="multilevel"/>
    <w:tmpl w:val="0C848B5C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63EA"/>
    <w:rsid w:val="00007593"/>
    <w:rsid w:val="00222A30"/>
    <w:rsid w:val="002472FB"/>
    <w:rsid w:val="003E6551"/>
    <w:rsid w:val="0049795B"/>
    <w:rsid w:val="00544ACE"/>
    <w:rsid w:val="00655723"/>
    <w:rsid w:val="00670B72"/>
    <w:rsid w:val="00675C3B"/>
    <w:rsid w:val="00732498"/>
    <w:rsid w:val="00AD63EA"/>
    <w:rsid w:val="00CE34B1"/>
    <w:rsid w:val="00DA1753"/>
    <w:rsid w:val="00DD74C1"/>
    <w:rsid w:val="00E679BE"/>
    <w:rsid w:val="00EC7A0C"/>
    <w:rsid w:val="00F3773F"/>
    <w:rsid w:val="00FF2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ED94"/>
  <w15:docId w15:val="{D520DF78-A4CC-4B38-A84A-538001B32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Heading1">
    <w:name w:val="Heading #1_"/>
    <w:basedOn w:val="Domylnaczcionkaakapitu"/>
    <w:link w:val="Heading10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Bodytext2">
    <w:name w:val="Body text (2)_"/>
    <w:basedOn w:val="Domylnaczcionkaakapitu"/>
    <w:link w:val="Bodytext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Bodytext2Bold">
    <w:name w:val="Body text (2) + Bold"/>
    <w:basedOn w:val="Bodytext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Bodytext21">
    <w:name w:val="Body text (2)"/>
    <w:basedOn w:val="Bodytext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Bodytext22">
    <w:name w:val="Body text (2)"/>
    <w:basedOn w:val="Bodytext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paragraph" w:customStyle="1" w:styleId="Heading10">
    <w:name w:val="Heading #1"/>
    <w:basedOn w:val="Normalny"/>
    <w:link w:val="Heading1"/>
    <w:pPr>
      <w:shd w:val="clear" w:color="auto" w:fill="FFFFFF"/>
      <w:spacing w:after="720" w:line="0" w:lineRule="atLeast"/>
      <w:jc w:val="both"/>
      <w:outlineLvl w:val="0"/>
    </w:pPr>
    <w:rPr>
      <w:rFonts w:ascii="Calibri" w:eastAsia="Calibri" w:hAnsi="Calibri" w:cs="Calibri"/>
      <w:b/>
      <w:bCs/>
    </w:rPr>
  </w:style>
  <w:style w:type="paragraph" w:customStyle="1" w:styleId="Bodytext20">
    <w:name w:val="Body text (2)"/>
    <w:basedOn w:val="Normalny"/>
    <w:link w:val="Bodytext2"/>
    <w:pPr>
      <w:shd w:val="clear" w:color="auto" w:fill="FFFFFF"/>
      <w:spacing w:before="240" w:line="442" w:lineRule="exact"/>
      <w:ind w:hanging="360"/>
      <w:jc w:val="both"/>
    </w:pPr>
    <w:rPr>
      <w:rFonts w:ascii="Calibri" w:eastAsia="Calibri" w:hAnsi="Calibri" w:cs="Calibri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77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%20boi@sokolka.sr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593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Wojdałowicz Marta</cp:lastModifiedBy>
  <cp:revision>13</cp:revision>
  <dcterms:created xsi:type="dcterms:W3CDTF">2022-06-09T07:20:00Z</dcterms:created>
  <dcterms:modified xsi:type="dcterms:W3CDTF">2022-06-29T06:52:00Z</dcterms:modified>
</cp:coreProperties>
</file>